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BB664" w14:textId="77777777" w:rsidR="00F205E0" w:rsidRDefault="00F205E0" w:rsidP="00F205E0">
      <w:pPr>
        <w:sectPr w:rsidR="00F205E0" w:rsidSect="00F205E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720" w:right="864" w:bottom="720" w:left="576" w:header="720" w:footer="576" w:gutter="0"/>
          <w:paperSrc w:first="15" w:other="15"/>
          <w:cols w:space="720"/>
        </w:sectPr>
      </w:pPr>
    </w:p>
    <w:p w14:paraId="3A1BD24E" w14:textId="77777777" w:rsidR="00BE7F30" w:rsidRPr="00664570" w:rsidRDefault="00BE7F30" w:rsidP="00BE7F30">
      <w:pPr>
        <w:ind w:left="-540"/>
        <w:rPr>
          <w:bCs/>
          <w:szCs w:val="24"/>
        </w:rPr>
      </w:pPr>
      <w:r w:rsidRPr="00664570">
        <w:rPr>
          <w:b/>
          <w:szCs w:val="24"/>
        </w:rPr>
        <w:t>TO:</w:t>
      </w:r>
      <w:r w:rsidRPr="00664570">
        <w:rPr>
          <w:b/>
          <w:szCs w:val="24"/>
        </w:rPr>
        <w:tab/>
      </w:r>
      <w:r w:rsidRPr="00664570">
        <w:rPr>
          <w:b/>
          <w:szCs w:val="24"/>
        </w:rPr>
        <w:tab/>
      </w:r>
      <w:r w:rsidRPr="00664570">
        <w:rPr>
          <w:bCs/>
          <w:szCs w:val="24"/>
        </w:rPr>
        <w:t>Interested Parties</w:t>
      </w:r>
    </w:p>
    <w:p w14:paraId="585FCBDB" w14:textId="77777777" w:rsidR="00BE7F30" w:rsidRPr="00664570" w:rsidRDefault="00BE7F30" w:rsidP="00BE7F30">
      <w:pPr>
        <w:tabs>
          <w:tab w:val="left" w:pos="1170"/>
        </w:tabs>
        <w:ind w:left="-540"/>
        <w:rPr>
          <w:szCs w:val="24"/>
        </w:rPr>
      </w:pPr>
      <w:r w:rsidRPr="00664570">
        <w:rPr>
          <w:szCs w:val="24"/>
        </w:rPr>
        <w:tab/>
      </w:r>
      <w:r w:rsidRPr="00664570">
        <w:rPr>
          <w:szCs w:val="24"/>
        </w:rPr>
        <w:tab/>
      </w:r>
    </w:p>
    <w:p w14:paraId="6E1C825F" w14:textId="7F69C32E" w:rsidR="00BE7F30" w:rsidRPr="00664570" w:rsidRDefault="00BE7F30" w:rsidP="00664570">
      <w:pPr>
        <w:tabs>
          <w:tab w:val="left" w:pos="720"/>
        </w:tabs>
        <w:ind w:left="-540"/>
        <w:rPr>
          <w:szCs w:val="24"/>
        </w:rPr>
      </w:pPr>
      <w:r w:rsidRPr="00664570">
        <w:rPr>
          <w:b/>
          <w:szCs w:val="24"/>
        </w:rPr>
        <w:t xml:space="preserve">FROM:       </w:t>
      </w:r>
      <w:r w:rsidRPr="00664570">
        <w:rPr>
          <w:bCs/>
          <w:szCs w:val="24"/>
        </w:rPr>
        <w:t>Therese Harris, Director, Infrastructure Division</w:t>
      </w:r>
      <w:r w:rsidRPr="00664570">
        <w:rPr>
          <w:b/>
          <w:szCs w:val="24"/>
        </w:rPr>
        <w:t xml:space="preserve"> </w:t>
      </w:r>
    </w:p>
    <w:p w14:paraId="56C27357" w14:textId="77777777" w:rsidR="00BE7F30" w:rsidRPr="00664570" w:rsidRDefault="00BE7F30" w:rsidP="00BE7F30">
      <w:pPr>
        <w:tabs>
          <w:tab w:val="left" w:pos="1170"/>
        </w:tabs>
        <w:ind w:left="-540"/>
        <w:rPr>
          <w:szCs w:val="24"/>
        </w:rPr>
      </w:pPr>
      <w:r w:rsidRPr="00664570">
        <w:rPr>
          <w:szCs w:val="24"/>
        </w:rPr>
        <w:tab/>
      </w:r>
      <w:r w:rsidRPr="00664570">
        <w:rPr>
          <w:szCs w:val="24"/>
        </w:rPr>
        <w:tab/>
      </w:r>
    </w:p>
    <w:p w14:paraId="7CCFC21E" w14:textId="555DC235" w:rsidR="00BE7F30" w:rsidRPr="00664570" w:rsidRDefault="00BE7F30" w:rsidP="00BE7F30">
      <w:pPr>
        <w:tabs>
          <w:tab w:val="left" w:pos="720"/>
          <w:tab w:val="left" w:pos="1170"/>
        </w:tabs>
        <w:spacing w:before="240"/>
        <w:ind w:left="-540"/>
        <w:rPr>
          <w:bCs/>
          <w:szCs w:val="24"/>
        </w:rPr>
      </w:pPr>
      <w:r w:rsidRPr="00664570">
        <w:rPr>
          <w:b/>
          <w:szCs w:val="24"/>
        </w:rPr>
        <w:t>DATE:</w:t>
      </w:r>
      <w:r w:rsidRPr="00664570">
        <w:rPr>
          <w:b/>
          <w:szCs w:val="24"/>
        </w:rPr>
        <w:tab/>
      </w:r>
      <w:r w:rsidR="0097049B" w:rsidRPr="0097049B">
        <w:rPr>
          <w:bCs/>
          <w:szCs w:val="24"/>
        </w:rPr>
        <w:t>November 3</w:t>
      </w:r>
      <w:r w:rsidRPr="00664570">
        <w:rPr>
          <w:bCs/>
          <w:szCs w:val="24"/>
        </w:rPr>
        <w:t>, 2023</w:t>
      </w:r>
      <w:r w:rsidRPr="00664570">
        <w:rPr>
          <w:bCs/>
          <w:szCs w:val="24"/>
        </w:rPr>
        <w:br/>
      </w:r>
    </w:p>
    <w:p w14:paraId="49570038" w14:textId="03D0C1B9" w:rsidR="00BE7F30" w:rsidRPr="00664570" w:rsidRDefault="00BE7F30" w:rsidP="00BE7F30">
      <w:pPr>
        <w:ind w:left="-540" w:right="-450"/>
        <w:rPr>
          <w:bCs/>
          <w:szCs w:val="24"/>
        </w:rPr>
      </w:pPr>
      <w:r w:rsidRPr="00664570">
        <w:rPr>
          <w:b/>
          <w:szCs w:val="24"/>
        </w:rPr>
        <w:t>RE:</w:t>
      </w:r>
      <w:r w:rsidRPr="00664570">
        <w:rPr>
          <w:b/>
          <w:szCs w:val="24"/>
        </w:rPr>
        <w:tab/>
      </w:r>
      <w:r w:rsidRPr="00664570">
        <w:rPr>
          <w:b/>
          <w:szCs w:val="24"/>
        </w:rPr>
        <w:tab/>
      </w:r>
      <w:r w:rsidRPr="00664570">
        <w:rPr>
          <w:bCs/>
          <w:szCs w:val="24"/>
        </w:rPr>
        <w:t>Project No. 38578</w:t>
      </w:r>
      <w:r w:rsidR="0080031D">
        <w:rPr>
          <w:bCs/>
          <w:szCs w:val="24"/>
        </w:rPr>
        <w:t xml:space="preserve"> </w:t>
      </w:r>
      <w:r w:rsidR="0097049B">
        <w:rPr>
          <w:bCs/>
          <w:szCs w:val="24"/>
        </w:rPr>
        <w:t>- Avoided Cost of Capacity 2024 Program Year</w:t>
      </w:r>
    </w:p>
    <w:p w14:paraId="29B03FFC" w14:textId="77777777" w:rsidR="00BE7F30" w:rsidRPr="00664570" w:rsidRDefault="00BE7F30" w:rsidP="00BE7F30">
      <w:pPr>
        <w:tabs>
          <w:tab w:val="left" w:pos="1170"/>
        </w:tabs>
        <w:ind w:right="-450"/>
        <w:rPr>
          <w:bCs/>
          <w:szCs w:val="24"/>
        </w:rPr>
      </w:pPr>
      <w:r w:rsidRPr="00664570">
        <w:rPr>
          <w:bCs/>
          <w:noProof/>
          <w:szCs w:val="24"/>
        </w:rPr>
        <mc:AlternateContent>
          <mc:Choice Requires="wps">
            <w:drawing>
              <wp:anchor distT="0" distB="0" distL="114300" distR="114300" simplePos="0" relativeHeight="251659264" behindDoc="0" locked="0" layoutInCell="1" allowOverlap="1" wp14:anchorId="5FB85045" wp14:editId="5E1157B6">
                <wp:simplePos x="0" y="0"/>
                <wp:positionH relativeFrom="column">
                  <wp:posOffset>-304800</wp:posOffset>
                </wp:positionH>
                <wp:positionV relativeFrom="paragraph">
                  <wp:posOffset>121920</wp:posOffset>
                </wp:positionV>
                <wp:extent cx="6219825" cy="45719"/>
                <wp:effectExtent l="0" t="0" r="28575" b="311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982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7CB188" id="_x0000_t32" coordsize="21600,21600" o:spt="32" o:oned="t" path="m,l21600,21600e" filled="f">
                <v:path arrowok="t" fillok="f" o:connecttype="none"/>
                <o:lock v:ext="edit" shapetype="t"/>
              </v:shapetype>
              <v:shape id="AutoShape 2" o:spid="_x0000_s1026" type="#_x0000_t32" style="position:absolute;margin-left:-24pt;margin-top:9.6pt;width:489.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c+wQEAAGQDAAAOAAAAZHJzL2Uyb0RvYy54bWysU01v2zAMvQ/YfxB0XxwHS9cYcXpI1126&#10;LUC73Rl92MJkUaCUOPn3kxQ33cdtmA+EKIqPj4/0+u40WHZUFAy6ltezOWfKCZTGdS3/9vzw7paz&#10;EMFJsOhUy88q8LvN2zfr0TdqgT1aqYglEBea0be8j9E3VRVErwYIM/TKpaBGGiAml7pKEowJfbDV&#10;Yj6/qUYk6QmFCiHd3l+CfFPwtVYiftU6qMhsyxO3WCwVu8+22qyh6Qh8b8REA/6BxQDGpaJXqHuI&#10;wA5k/oIajCAMqONM4FCh1kao0kPqpp7/0c1TD16VXpI4wV9lCv8PVnw5bt2OMnVxck/+EcWPwBxu&#10;e3CdKgSezz4Nrs5SVaMPzTUlO8HviO3HzyjTGzhELCqcNA1MW+O/58QMnjplpyL7+Sq7OkUm0uXN&#10;ol7dLpaciRR7v/xQr0otaDJMTvYU4ieFA8uHlodIYLo+btG5NGCkSwk4PoaYSb4m5GSHD8baMmfr&#10;2Njy1TLVypGA1sgcLA51+60ldoS8KeWbWPz2jPDgZAHrFciP0zmCsZdzKm7dJFTWJi9iaPYozzt6&#10;ETCNsrCc1i7vyq9+yX79OTY/AQAA//8DAFBLAwQUAAYACAAAACEA+IqUc94AAAAJAQAADwAAAGRy&#10;cy9kb3ducmV2LnhtbEyPQU+EMBSE7yb+h+aZeNsti4gsUjbGROPBkLjqvUufgNJXpF1g/73Pkx4n&#10;M5n5ptgtthcTjr5zpGCzjkAg1c501Ch4e31YZSB80GR07wgVnNDDrjw/K3Ru3EwvOO1DI7iEfK4V&#10;tCEMuZS+btFqv3YDEnsfbrQ6sBwbaUY9c7ntZRxFqbS6I15o9YD3LdZf+6NV8E03p/dETtlnVYX0&#10;8em5IaxmpS4vlrtbEAGX8BeGX3xGh5KZDu5IxotewSrJ+EtgYxuD4MD2anMN4qAgThOQZSH/Pyh/&#10;AAAA//8DAFBLAQItABQABgAIAAAAIQC2gziS/gAAAOEBAAATAAAAAAAAAAAAAAAAAAAAAABbQ29u&#10;dGVudF9UeXBlc10ueG1sUEsBAi0AFAAGAAgAAAAhADj9If/WAAAAlAEAAAsAAAAAAAAAAAAAAAAA&#10;LwEAAF9yZWxzLy5yZWxzUEsBAi0AFAAGAAgAAAAhAJ1Qhz7BAQAAZAMAAA4AAAAAAAAAAAAAAAAA&#10;LgIAAGRycy9lMm9Eb2MueG1sUEsBAi0AFAAGAAgAAAAhAPiKlHPeAAAACQEAAA8AAAAAAAAAAAAA&#10;AAAAGwQAAGRycy9kb3ducmV2LnhtbFBLBQYAAAAABAAEAPMAAAAmBQAAAAA=&#10;"/>
            </w:pict>
          </mc:Fallback>
        </mc:AlternateContent>
      </w:r>
      <w:r w:rsidRPr="00664570">
        <w:rPr>
          <w:bCs/>
          <w:szCs w:val="24"/>
        </w:rPr>
        <w:tab/>
      </w:r>
    </w:p>
    <w:p w14:paraId="128A9967" w14:textId="77777777" w:rsidR="0097049B" w:rsidRPr="0097049B" w:rsidRDefault="0097049B" w:rsidP="0097049B">
      <w:pPr>
        <w:ind w:left="-540"/>
        <w:rPr>
          <w:b/>
          <w:bCs/>
        </w:rPr>
      </w:pPr>
      <w:r w:rsidRPr="0097049B">
        <w:rPr>
          <w:b/>
          <w:bCs/>
        </w:rPr>
        <w:t>Avoided Cost of Capacity for the 2024 Program Year</w:t>
      </w:r>
    </w:p>
    <w:p w14:paraId="6A2BB9C4" w14:textId="77777777" w:rsidR="0097049B" w:rsidRPr="0097049B" w:rsidRDefault="0097049B" w:rsidP="0097049B">
      <w:pPr>
        <w:ind w:left="-540"/>
        <w:rPr>
          <w:b/>
          <w:bCs/>
        </w:rPr>
      </w:pPr>
    </w:p>
    <w:p w14:paraId="2190E4E2" w14:textId="5B45DB9F" w:rsidR="009E3AC7" w:rsidRDefault="0097049B" w:rsidP="002D0216">
      <w:pPr>
        <w:ind w:left="-540"/>
        <w:jc w:val="both"/>
      </w:pPr>
      <w:r w:rsidRPr="0097049B">
        <w:t>As shown below in the United States Department of Energy’s Energy Information Administration’s (EIA) Cost and Performance Characteristics of New Central Station Electricity Generating Technologies associated with EIA’s Annual Energy Outlook 2023, the base overnight cost of a combustion turbine—industrial frame is $867 per kilowatt (kW). Further the total overnight cost of a combustion turbine—industrial frame is $764 per kilowatt (kW) in the Texas Reliability Entity or Electric Reliability Council of Texas (ERCOT) region.  Because this amount is between $700 and $1,000 per kW, the avoided cost of capacity is $100 per kW-year for the 2024 program year under 16 Texas Administrative Code (TAC) § 25.181(d)(2)(A)(ii).</w:t>
      </w:r>
    </w:p>
    <w:p w14:paraId="22075A6D" w14:textId="6E0CB0B4" w:rsidR="008F79F9" w:rsidRDefault="008F79F9" w:rsidP="002D0216">
      <w:pPr>
        <w:ind w:left="-540"/>
        <w:jc w:val="both"/>
      </w:pPr>
    </w:p>
    <w:p w14:paraId="77E3CD31" w14:textId="5AFCCF97" w:rsidR="008F79F9" w:rsidRDefault="008F79F9" w:rsidP="0097049B">
      <w:pPr>
        <w:ind w:left="-540"/>
      </w:pPr>
    </w:p>
    <w:p w14:paraId="2FB4B723" w14:textId="6D12E8AE" w:rsidR="008F79F9" w:rsidRDefault="008F79F9" w:rsidP="0097049B">
      <w:pPr>
        <w:ind w:left="-540"/>
      </w:pPr>
      <w:r w:rsidRPr="008F79F9">
        <w:drawing>
          <wp:inline distT="0" distB="0" distL="0" distR="0" wp14:anchorId="17ED6F5B" wp14:editId="205712E2">
            <wp:extent cx="6750050" cy="4432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750867" cy="4432836"/>
                    </a:xfrm>
                    <a:prstGeom prst="rect">
                      <a:avLst/>
                    </a:prstGeom>
                  </pic:spPr>
                </pic:pic>
              </a:graphicData>
            </a:graphic>
          </wp:inline>
        </w:drawing>
      </w:r>
    </w:p>
    <w:p w14:paraId="097555A6" w14:textId="3D82A6D7" w:rsidR="008F79F9" w:rsidRDefault="008F79F9" w:rsidP="0097049B">
      <w:pPr>
        <w:ind w:left="-540"/>
      </w:pPr>
    </w:p>
    <w:p w14:paraId="3EE2A823" w14:textId="77777777" w:rsidR="00196B37" w:rsidRDefault="00196B37" w:rsidP="0097049B">
      <w:pPr>
        <w:ind w:left="-540"/>
      </w:pPr>
    </w:p>
    <w:p w14:paraId="69CBDD39" w14:textId="77777777" w:rsidR="00196B37" w:rsidRDefault="00196B37" w:rsidP="0097049B">
      <w:pPr>
        <w:ind w:left="-540"/>
      </w:pPr>
    </w:p>
    <w:p w14:paraId="58475B26" w14:textId="22DD4E64" w:rsidR="008F79F9" w:rsidRDefault="008F79F9" w:rsidP="0097049B">
      <w:pPr>
        <w:ind w:left="-540"/>
      </w:pPr>
      <w:r w:rsidRPr="008F79F9">
        <w:drawing>
          <wp:inline distT="0" distB="0" distL="0" distR="0" wp14:anchorId="7152D1E2" wp14:editId="6D671B5E">
            <wp:extent cx="6591300" cy="4375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24132" cy="4396943"/>
                    </a:xfrm>
                    <a:prstGeom prst="rect">
                      <a:avLst/>
                    </a:prstGeom>
                  </pic:spPr>
                </pic:pic>
              </a:graphicData>
            </a:graphic>
          </wp:inline>
        </w:drawing>
      </w:r>
    </w:p>
    <w:p w14:paraId="1F15298C" w14:textId="6155A41E" w:rsidR="00196B37" w:rsidRPr="00664570" w:rsidRDefault="00196B37" w:rsidP="0097049B">
      <w:pPr>
        <w:ind w:left="-540"/>
      </w:pPr>
      <w:hyperlink r:id="rId15" w:history="1">
        <w:r w:rsidRPr="00196B37">
          <w:rPr>
            <w:rStyle w:val="Hyperlink"/>
          </w:rPr>
          <w:t>https://www.eia.gov/outlooks/a</w:t>
        </w:r>
        <w:r w:rsidRPr="00196B37">
          <w:rPr>
            <w:rStyle w:val="Hyperlink"/>
          </w:rPr>
          <w:t>e</w:t>
        </w:r>
        <w:r w:rsidRPr="00196B37">
          <w:rPr>
            <w:rStyle w:val="Hyperlink"/>
          </w:rPr>
          <w:t>o/assumptions/pdf/elec_cost_perf.pdf</w:t>
        </w:r>
      </w:hyperlink>
    </w:p>
    <w:sectPr w:rsidR="00196B37" w:rsidRPr="00664570" w:rsidSect="00BE7F30">
      <w:headerReference w:type="default" r:id="rId16"/>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43E7" w14:textId="77777777" w:rsidR="00BE7F30" w:rsidRDefault="00BE7F30" w:rsidP="00F205E0">
      <w:r>
        <w:separator/>
      </w:r>
    </w:p>
  </w:endnote>
  <w:endnote w:type="continuationSeparator" w:id="0">
    <w:p w14:paraId="7E2FAD9E" w14:textId="77777777" w:rsidR="00BE7F30" w:rsidRDefault="00BE7F30"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2F876" w14:textId="77777777" w:rsidR="005B6B87" w:rsidRDefault="005B6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834B" w14:textId="77777777" w:rsidR="00CE2889" w:rsidRDefault="00CE2889" w:rsidP="00CE2889">
    <w:pPr>
      <w:framePr w:hSpace="180" w:wrap="auto" w:vAnchor="page" w:hAnchor="page" w:x="496" w:y="14626"/>
      <w:rPr>
        <w:spacing w:val="10"/>
      </w:rPr>
    </w:pPr>
    <w:r w:rsidRPr="00810452">
      <w:rPr>
        <w:spacing w:val="10"/>
      </w:rPr>
      <w:object w:dxaOrig="290" w:dyaOrig="240" w14:anchorId="57346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pt" fillcolor="window">
          <v:imagedata r:id="rId1" o:title=""/>
        </v:shape>
        <o:OLEObject Type="Embed" ProgID="MSDraw" ShapeID="_x0000_i1025" DrawAspect="Content" ObjectID="_1760512308" r:id="rId2">
          <o:FieldCodes>\* mergeformat</o:FieldCodes>
        </o:OLEObject>
      </w:object>
    </w:r>
  </w:p>
  <w:p w14:paraId="2F298733"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73476C8"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2BDCCE4"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583C" w14:textId="77777777" w:rsidR="005B6B87" w:rsidRDefault="005B6B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121AC"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81AD" w14:textId="77777777" w:rsidR="00BE7F30" w:rsidRDefault="00BE7F30" w:rsidP="00F205E0">
      <w:r>
        <w:separator/>
      </w:r>
    </w:p>
  </w:footnote>
  <w:footnote w:type="continuationSeparator" w:id="0">
    <w:p w14:paraId="5F64AF13" w14:textId="77777777" w:rsidR="00BE7F30" w:rsidRDefault="00BE7F30"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24C3" w14:textId="77777777" w:rsidR="005B6B87" w:rsidRDefault="005B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3BBB"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EEB6BEB"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4C4AF5F3" wp14:editId="72CA5539">
          <wp:simplePos x="0" y="0"/>
          <wp:positionH relativeFrom="page">
            <wp:posOffset>3430184</wp:posOffset>
          </wp:positionH>
          <wp:positionV relativeFrom="paragraph">
            <wp:posOffset>49155</wp:posOffset>
          </wp:positionV>
          <wp:extent cx="843333" cy="834815"/>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898014C"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5424EA">
      <w:rPr>
        <w:b/>
        <w:sz w:val="22"/>
      </w:rPr>
      <w:t>Kathleen Jackson</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6A767BE0"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5424EA">
      <w:rPr>
        <w:rFonts w:ascii="Palatino (PCL6)" w:hAnsi="Palatino (PCL6)"/>
        <w:b/>
        <w:spacing w:val="10"/>
        <w:sz w:val="18"/>
      </w:rPr>
      <w:t xml:space="preserve">Interim </w:t>
    </w:r>
    <w:r w:rsidR="00E30FA8">
      <w:rPr>
        <w:b/>
        <w:spacing w:val="10"/>
        <w:sz w:val="16"/>
      </w:rPr>
      <w:t>C</w:t>
    </w:r>
    <w:r w:rsidR="005424EA">
      <w:rPr>
        <w:b/>
        <w:spacing w:val="10"/>
        <w:sz w:val="16"/>
      </w:rPr>
      <w:t>hair</w:t>
    </w:r>
    <w:r w:rsidR="008F04CD">
      <w:rPr>
        <w:b/>
        <w:spacing w:val="10"/>
        <w:sz w:val="16"/>
      </w:rPr>
      <w:t xml:space="preserve"> </w:t>
    </w:r>
    <w:r>
      <w:rPr>
        <w:b/>
        <w:spacing w:val="10"/>
        <w:sz w:val="16"/>
      </w:rPr>
      <w:ptab w:relativeTo="margin" w:alignment="right" w:leader="none"/>
    </w:r>
    <w:r w:rsidR="000C7B58">
      <w:rPr>
        <w:b/>
        <w:spacing w:val="10"/>
        <w:sz w:val="16"/>
      </w:rPr>
      <w:t>Governor</w:t>
    </w:r>
  </w:p>
  <w:p w14:paraId="5E7B3436"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78EF4C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0251451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02D56D0A"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50C4C3A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2792657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364B078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776BBD12"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7B415A3D"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52FDC5C" w14:textId="77777777" w:rsidR="00052A22" w:rsidRDefault="00052A22" w:rsidP="00B47B3A">
    <w:pPr>
      <w:pStyle w:val="Heading1"/>
      <w:framePr w:w="5899" w:h="545" w:wrap="auto" w:x="3502" w:y="2993"/>
    </w:pPr>
    <w:r>
      <w:t>Public Utility Commission of Texas</w:t>
    </w:r>
  </w:p>
  <w:p w14:paraId="6825752F"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00D7C05"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r>
  </w:p>
  <w:p w14:paraId="205B8D88"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p>
  <w:p w14:paraId="73515958"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12DD82A0"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56E8FF21"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A826" w14:textId="77777777" w:rsidR="005B6B87" w:rsidRDefault="005B6B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EF31"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03A67"/>
    <w:multiLevelType w:val="hybridMultilevel"/>
    <w:tmpl w:val="84C4C2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428C49D1"/>
    <w:multiLevelType w:val="hybridMultilevel"/>
    <w:tmpl w:val="4D901676"/>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num w:numId="1" w16cid:durableId="949969230">
    <w:abstractNumId w:val="0"/>
  </w:num>
  <w:num w:numId="2" w16cid:durableId="13562271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F30"/>
    <w:rsid w:val="00052A22"/>
    <w:rsid w:val="00054249"/>
    <w:rsid w:val="00081D53"/>
    <w:rsid w:val="000A4384"/>
    <w:rsid w:val="000C7B58"/>
    <w:rsid w:val="00196B37"/>
    <w:rsid w:val="001C60C2"/>
    <w:rsid w:val="0020006F"/>
    <w:rsid w:val="00210A67"/>
    <w:rsid w:val="00266D3A"/>
    <w:rsid w:val="002727BA"/>
    <w:rsid w:val="002A460E"/>
    <w:rsid w:val="002B5F2A"/>
    <w:rsid w:val="002C6B71"/>
    <w:rsid w:val="002C7323"/>
    <w:rsid w:val="002D0216"/>
    <w:rsid w:val="002D1396"/>
    <w:rsid w:val="002E02E7"/>
    <w:rsid w:val="00304A7D"/>
    <w:rsid w:val="00332B56"/>
    <w:rsid w:val="00333DA2"/>
    <w:rsid w:val="00361F3E"/>
    <w:rsid w:val="003B52A7"/>
    <w:rsid w:val="003C1C7E"/>
    <w:rsid w:val="003C639A"/>
    <w:rsid w:val="003D1734"/>
    <w:rsid w:val="003D3E2D"/>
    <w:rsid w:val="003F117F"/>
    <w:rsid w:val="003F6056"/>
    <w:rsid w:val="004208F5"/>
    <w:rsid w:val="00467443"/>
    <w:rsid w:val="004A3108"/>
    <w:rsid w:val="004F132B"/>
    <w:rsid w:val="005424EA"/>
    <w:rsid w:val="005621EB"/>
    <w:rsid w:val="0057420A"/>
    <w:rsid w:val="00580FCC"/>
    <w:rsid w:val="00584D49"/>
    <w:rsid w:val="00591646"/>
    <w:rsid w:val="005B6B87"/>
    <w:rsid w:val="00664570"/>
    <w:rsid w:val="00665865"/>
    <w:rsid w:val="0068564C"/>
    <w:rsid w:val="006856A5"/>
    <w:rsid w:val="00756666"/>
    <w:rsid w:val="007618AE"/>
    <w:rsid w:val="00771722"/>
    <w:rsid w:val="00783E18"/>
    <w:rsid w:val="00787F8C"/>
    <w:rsid w:val="007E2D63"/>
    <w:rsid w:val="0080031D"/>
    <w:rsid w:val="008143E2"/>
    <w:rsid w:val="008348B5"/>
    <w:rsid w:val="008732BB"/>
    <w:rsid w:val="00875F1D"/>
    <w:rsid w:val="00890720"/>
    <w:rsid w:val="008A637F"/>
    <w:rsid w:val="008C0670"/>
    <w:rsid w:val="008C4B64"/>
    <w:rsid w:val="008C7E5D"/>
    <w:rsid w:val="008E2B50"/>
    <w:rsid w:val="008F04CD"/>
    <w:rsid w:val="008F79F9"/>
    <w:rsid w:val="0097049B"/>
    <w:rsid w:val="00996163"/>
    <w:rsid w:val="009B073B"/>
    <w:rsid w:val="009B5F0D"/>
    <w:rsid w:val="009E3AC7"/>
    <w:rsid w:val="009F15AB"/>
    <w:rsid w:val="00A12349"/>
    <w:rsid w:val="00A124A9"/>
    <w:rsid w:val="00AC26D9"/>
    <w:rsid w:val="00AD68A5"/>
    <w:rsid w:val="00B47B3A"/>
    <w:rsid w:val="00B56CBB"/>
    <w:rsid w:val="00B65457"/>
    <w:rsid w:val="00B677AD"/>
    <w:rsid w:val="00B760A2"/>
    <w:rsid w:val="00BA4B36"/>
    <w:rsid w:val="00BD7607"/>
    <w:rsid w:val="00BE7F30"/>
    <w:rsid w:val="00C3714F"/>
    <w:rsid w:val="00C6276B"/>
    <w:rsid w:val="00C71532"/>
    <w:rsid w:val="00C83E52"/>
    <w:rsid w:val="00C92B76"/>
    <w:rsid w:val="00C93E4A"/>
    <w:rsid w:val="00CB24AC"/>
    <w:rsid w:val="00CE2889"/>
    <w:rsid w:val="00CF6ECF"/>
    <w:rsid w:val="00D239E0"/>
    <w:rsid w:val="00D5689B"/>
    <w:rsid w:val="00D90769"/>
    <w:rsid w:val="00D96923"/>
    <w:rsid w:val="00DC43CA"/>
    <w:rsid w:val="00DE78BA"/>
    <w:rsid w:val="00E26D70"/>
    <w:rsid w:val="00E30FA8"/>
    <w:rsid w:val="00E74285"/>
    <w:rsid w:val="00E83210"/>
    <w:rsid w:val="00EA3A3B"/>
    <w:rsid w:val="00EE430E"/>
    <w:rsid w:val="00F205E0"/>
    <w:rsid w:val="00F34A1F"/>
    <w:rsid w:val="00F601E8"/>
    <w:rsid w:val="00F63618"/>
    <w:rsid w:val="00F65E4E"/>
    <w:rsid w:val="00F72522"/>
    <w:rsid w:val="00FE24F3"/>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440A7"/>
  <w15:docId w15:val="{3353FBD1-1E3B-4271-9D0E-39555D85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F3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BE7F30"/>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BE7F30"/>
    <w:rPr>
      <w:rFonts w:ascii="Calibri" w:hAnsi="Calibri" w:cstheme="minorBidi"/>
      <w:sz w:val="22"/>
      <w:szCs w:val="21"/>
    </w:rPr>
  </w:style>
  <w:style w:type="table" w:styleId="PlainTable3">
    <w:name w:val="Plain Table 3"/>
    <w:basedOn w:val="TableNormal"/>
    <w:uiPriority w:val="43"/>
    <w:rsid w:val="00BE7F30"/>
    <w:pPr>
      <w:spacing w:after="0" w:line="240" w:lineRule="auto"/>
    </w:pPr>
    <w:rPr>
      <w:rFonts w:ascii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Hyperlink">
    <w:name w:val="Hyperlink"/>
    <w:basedOn w:val="DefaultParagraphFont"/>
    <w:uiPriority w:val="99"/>
    <w:unhideWhenUsed/>
    <w:rsid w:val="00BE7F30"/>
    <w:rPr>
      <w:color w:val="0000FF"/>
      <w:u w:val="single"/>
    </w:rPr>
  </w:style>
  <w:style w:type="character" w:styleId="UnresolvedMention">
    <w:name w:val="Unresolved Mention"/>
    <w:basedOn w:val="DefaultParagraphFont"/>
    <w:uiPriority w:val="99"/>
    <w:semiHidden/>
    <w:unhideWhenUsed/>
    <w:rsid w:val="00996163"/>
    <w:rPr>
      <w:color w:val="605E5C"/>
      <w:shd w:val="clear" w:color="auto" w:fill="E1DFDD"/>
    </w:rPr>
  </w:style>
  <w:style w:type="paragraph" w:styleId="Revision">
    <w:name w:val="Revision"/>
    <w:hidden/>
    <w:uiPriority w:val="99"/>
    <w:semiHidden/>
    <w:rsid w:val="005621EB"/>
    <w:pPr>
      <w:spacing w:after="0" w:line="240" w:lineRule="auto"/>
    </w:pPr>
    <w:rPr>
      <w:rFonts w:eastAsia="Times New Roman"/>
      <w:szCs w:val="20"/>
    </w:rPr>
  </w:style>
  <w:style w:type="table" w:customStyle="1" w:styleId="PlainTable31">
    <w:name w:val="Plain Table 31"/>
    <w:basedOn w:val="TableNormal"/>
    <w:next w:val="PlainTable3"/>
    <w:uiPriority w:val="43"/>
    <w:rsid w:val="007E2D63"/>
    <w:pPr>
      <w:spacing w:after="0" w:line="240" w:lineRule="auto"/>
    </w:pPr>
    <w:rPr>
      <w:rFonts w:ascii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FollowedHyperlink">
    <w:name w:val="FollowedHyperlink"/>
    <w:basedOn w:val="DefaultParagraphFont"/>
    <w:uiPriority w:val="99"/>
    <w:semiHidden/>
    <w:unhideWhenUsed/>
    <w:rsid w:val="00196B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38614">
      <w:bodyDiv w:val="1"/>
      <w:marLeft w:val="0"/>
      <w:marRight w:val="0"/>
      <w:marTop w:val="0"/>
      <w:marBottom w:val="0"/>
      <w:divBdr>
        <w:top w:val="none" w:sz="0" w:space="0" w:color="auto"/>
        <w:left w:val="none" w:sz="0" w:space="0" w:color="auto"/>
        <w:bottom w:val="none" w:sz="0" w:space="0" w:color="auto"/>
        <w:right w:val="none" w:sz="0" w:space="0" w:color="auto"/>
      </w:divBdr>
    </w:div>
    <w:div w:id="846480106">
      <w:bodyDiv w:val="1"/>
      <w:marLeft w:val="0"/>
      <w:marRight w:val="0"/>
      <w:marTop w:val="0"/>
      <w:marBottom w:val="0"/>
      <w:divBdr>
        <w:top w:val="none" w:sz="0" w:space="0" w:color="auto"/>
        <w:left w:val="none" w:sz="0" w:space="0" w:color="auto"/>
        <w:bottom w:val="none" w:sz="0" w:space="0" w:color="auto"/>
        <w:right w:val="none" w:sz="0" w:space="0" w:color="auto"/>
      </w:divBdr>
    </w:div>
    <w:div w:id="12791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eia.gov/outlooks/aeo/assumptions/pdf/elec_cost_perf.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3</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Therese Harris</dc:creator>
  <cp:lastModifiedBy>Therese Harris</cp:lastModifiedBy>
  <cp:revision>2</cp:revision>
  <cp:lastPrinted>2010-07-16T14:48:00Z</cp:lastPrinted>
  <dcterms:created xsi:type="dcterms:W3CDTF">2023-11-03T15:25:00Z</dcterms:created>
  <dcterms:modified xsi:type="dcterms:W3CDTF">2023-11-03T15:25:00Z</dcterms:modified>
</cp:coreProperties>
</file>